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1C280" w14:textId="659B9A7C" w:rsidR="00C1218B" w:rsidRPr="002350D2" w:rsidRDefault="00372566" w:rsidP="00C1218B">
      <w:pPr>
        <w:jc w:val="center"/>
        <w:rPr>
          <w:rFonts w:ascii="Trebuchet MS" w:hAnsi="Trebuchet MS"/>
          <w:b/>
          <w:sz w:val="20"/>
          <w:szCs w:val="20"/>
        </w:rPr>
      </w:pPr>
      <w:r>
        <w:rPr>
          <w:rFonts w:ascii="Trebuchet MS" w:hAnsi="Trebuchet MS"/>
          <w:b/>
          <w:sz w:val="20"/>
          <w:szCs w:val="20"/>
        </w:rPr>
        <w:t>ATSAKYMAI Į RINKOS KONSULTACIJOS KLAUSIMUS</w:t>
      </w:r>
    </w:p>
    <w:p w14:paraId="24AF8B8F" w14:textId="77777777" w:rsidR="00C1218B" w:rsidRPr="002350D2" w:rsidRDefault="00C1218B" w:rsidP="00C1218B">
      <w:pPr>
        <w:rPr>
          <w:rFonts w:ascii="Trebuchet MS" w:hAnsi="Trebuchet M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8754"/>
      </w:tblGrid>
      <w:tr w:rsidR="00672F89" w:rsidRPr="00746CF4" w14:paraId="2ED3A90B" w14:textId="7CE8C6F9" w:rsidTr="007C4F9C">
        <w:trPr>
          <w:trHeight w:val="730"/>
        </w:trPr>
        <w:tc>
          <w:tcPr>
            <w:tcW w:w="1872" w:type="pct"/>
            <w:vAlign w:val="center"/>
          </w:tcPr>
          <w:p w14:paraId="7EB6331C" w14:textId="2B054D1C" w:rsidR="00672F89" w:rsidRPr="00746CF4" w:rsidRDefault="00672F89" w:rsidP="00672F89">
            <w:pPr>
              <w:jc w:val="center"/>
              <w:rPr>
                <w:rFonts w:ascii="Trebuchet MS" w:hAnsi="Trebuchet MS"/>
                <w:b/>
                <w:sz w:val="20"/>
                <w:szCs w:val="20"/>
              </w:rPr>
            </w:pPr>
            <w:r w:rsidRPr="00746CF4">
              <w:rPr>
                <w:rFonts w:ascii="Trebuchet MS" w:hAnsi="Trebuchet MS"/>
                <w:b/>
                <w:sz w:val="20"/>
                <w:szCs w:val="20"/>
              </w:rPr>
              <w:t>Tiekėjo klausimai</w:t>
            </w:r>
          </w:p>
        </w:tc>
        <w:tc>
          <w:tcPr>
            <w:tcW w:w="3128" w:type="pct"/>
            <w:vAlign w:val="center"/>
          </w:tcPr>
          <w:p w14:paraId="092640D6" w14:textId="72CC7A80" w:rsidR="00672F89" w:rsidRPr="00746CF4" w:rsidRDefault="00672F89" w:rsidP="00672F89">
            <w:pPr>
              <w:jc w:val="center"/>
              <w:rPr>
                <w:rFonts w:ascii="Trebuchet MS" w:hAnsi="Trebuchet MS"/>
                <w:b/>
                <w:sz w:val="20"/>
                <w:szCs w:val="20"/>
              </w:rPr>
            </w:pPr>
            <w:r w:rsidRPr="00746CF4">
              <w:rPr>
                <w:rFonts w:ascii="Trebuchet MS" w:hAnsi="Trebuchet MS"/>
                <w:b/>
                <w:sz w:val="20"/>
                <w:szCs w:val="20"/>
              </w:rPr>
              <w:t>Atsakymai į klausimus</w:t>
            </w:r>
          </w:p>
        </w:tc>
      </w:tr>
      <w:tr w:rsidR="00672F89" w:rsidRPr="00746CF4" w14:paraId="078747F6" w14:textId="55D092C8" w:rsidTr="007C4F9C">
        <w:trPr>
          <w:trHeight w:val="981"/>
        </w:trPr>
        <w:tc>
          <w:tcPr>
            <w:tcW w:w="1872" w:type="pct"/>
            <w:vAlign w:val="center"/>
          </w:tcPr>
          <w:p w14:paraId="153AB039" w14:textId="2F503C1B" w:rsidR="00672F89" w:rsidRPr="00746CF4" w:rsidRDefault="007C4F9C" w:rsidP="002F2ABB">
            <w:pPr>
              <w:pStyle w:val="ListParagraph"/>
              <w:tabs>
                <w:tab w:val="left" w:pos="240"/>
              </w:tabs>
              <w:suppressAutoHyphens/>
              <w:autoSpaceDN w:val="0"/>
              <w:spacing w:after="0" w:line="240" w:lineRule="auto"/>
              <w:ind w:left="0"/>
              <w:jc w:val="both"/>
              <w:rPr>
                <w:rFonts w:ascii="Trebuchet MS" w:hAnsi="Trebuchet MS" w:cs="Arial"/>
                <w:color w:val="000000"/>
                <w:sz w:val="20"/>
                <w:szCs w:val="20"/>
              </w:rPr>
            </w:pPr>
            <w:r w:rsidRPr="00746CF4">
              <w:rPr>
                <w:rFonts w:ascii="Trebuchet MS" w:hAnsi="Trebuchet MS" w:cs="Arial"/>
                <w:color w:val="000000"/>
                <w:sz w:val="20"/>
                <w:szCs w:val="20"/>
              </w:rPr>
              <w:t>Jei bus neatitikimų tarp Techninio ir Darbo projektų, ar tie darbai bus vertinami kaip papildomi?</w:t>
            </w:r>
          </w:p>
        </w:tc>
        <w:tc>
          <w:tcPr>
            <w:tcW w:w="3128" w:type="pct"/>
          </w:tcPr>
          <w:p w14:paraId="3D9BDB5F" w14:textId="349F2BE9" w:rsidR="00672F89" w:rsidRPr="00746CF4" w:rsidRDefault="007C4F9C" w:rsidP="00134FB0">
            <w:pPr>
              <w:spacing w:line="240" w:lineRule="auto"/>
              <w:jc w:val="both"/>
              <w:rPr>
                <w:rFonts w:ascii="Trebuchet MS" w:hAnsi="Trebuchet MS" w:cs="Arial"/>
                <w:sz w:val="20"/>
                <w:szCs w:val="20"/>
              </w:rPr>
            </w:pPr>
            <w:r w:rsidRPr="00746CF4">
              <w:rPr>
                <w:rFonts w:ascii="Trebuchet MS" w:hAnsi="Trebuchet MS" w:cs="Arial"/>
                <w:sz w:val="20"/>
                <w:szCs w:val="20"/>
                <w:lang w:val="pt-PT"/>
              </w:rPr>
              <w:t xml:space="preserve">Ne. Techniniame projekte pateikiami kiekiai yra orientaciniai, rangovas, teikiantis pasiūlymą, turi įsivertinti galimas rizikas, darbų atlikimo technologiją, įrangos tiekimo ir kitus faktorius, galinčius įtakoti kiekius. Primename, kad Techninio projekto rengimo etape sąnaudų kiekių žiniaraščiai rengiami pagal sustambintus sąnaudų rodiklius. </w:t>
            </w:r>
            <w:r w:rsidRPr="00746CF4">
              <w:rPr>
                <w:rFonts w:ascii="Trebuchet MS" w:hAnsi="Trebuchet MS" w:cs="Arial"/>
                <w:sz w:val="20"/>
                <w:szCs w:val="20"/>
              </w:rPr>
              <w:t>Darbo projekto rengimo etape šie rodikliai yra tikslinami. </w:t>
            </w:r>
          </w:p>
        </w:tc>
      </w:tr>
      <w:tr w:rsidR="00672F89" w:rsidRPr="00746CF4" w14:paraId="135C6E87" w14:textId="64916B55" w:rsidTr="007C4F9C">
        <w:trPr>
          <w:trHeight w:val="980"/>
        </w:trPr>
        <w:tc>
          <w:tcPr>
            <w:tcW w:w="1872" w:type="pct"/>
            <w:vAlign w:val="center"/>
          </w:tcPr>
          <w:p w14:paraId="3269793A" w14:textId="6CB2804D" w:rsidR="00672F89" w:rsidRPr="00746CF4" w:rsidRDefault="00746CF4" w:rsidP="002F2ABB">
            <w:pPr>
              <w:jc w:val="both"/>
              <w:rPr>
                <w:rFonts w:ascii="Trebuchet MS" w:hAnsi="Trebuchet MS" w:cs="Arial"/>
                <w:sz w:val="20"/>
                <w:szCs w:val="20"/>
              </w:rPr>
            </w:pPr>
            <w:r w:rsidRPr="00746CF4">
              <w:rPr>
                <w:rFonts w:ascii="Trebuchet MS" w:hAnsi="Trebuchet MS" w:cs="Arial"/>
                <w:sz w:val="20"/>
                <w:szCs w:val="20"/>
              </w:rPr>
              <w:t>Ar bus pateiktas sąrašas įrenginių, kuriuos tieks Užsakovas? </w:t>
            </w:r>
          </w:p>
        </w:tc>
        <w:tc>
          <w:tcPr>
            <w:tcW w:w="3128" w:type="pct"/>
            <w:vAlign w:val="center"/>
          </w:tcPr>
          <w:p w14:paraId="7FD0858E" w14:textId="54DC45E0" w:rsidR="00746CF4" w:rsidRPr="00746CF4" w:rsidRDefault="00746CF4" w:rsidP="00746CF4">
            <w:pPr>
              <w:spacing w:after="0"/>
              <w:jc w:val="both"/>
              <w:rPr>
                <w:rFonts w:ascii="Trebuchet MS" w:hAnsi="Trebuchet MS" w:cs="Arial"/>
                <w:sz w:val="20"/>
                <w:szCs w:val="20"/>
              </w:rPr>
            </w:pPr>
            <w:r w:rsidRPr="00746CF4">
              <w:rPr>
                <w:rFonts w:ascii="Trebuchet MS" w:hAnsi="Trebuchet MS" w:cs="Arial"/>
                <w:sz w:val="20"/>
                <w:szCs w:val="20"/>
              </w:rPr>
              <w:t>Taip, įrenginių sąrašas, kurį teiks užsakovas, bus pateiktas. Šis sąrašas yra ir techniniame projekte, EA dalyje. Visus šioje dalyje numatytai komercinei ir kontrolinei apskaitai būtinus elektros skaitiklius,</w:t>
            </w:r>
            <w:r>
              <w:rPr>
                <w:rFonts w:ascii="Trebuchet MS" w:hAnsi="Trebuchet MS" w:cs="Arial"/>
                <w:sz w:val="20"/>
                <w:szCs w:val="20"/>
              </w:rPr>
              <w:t xml:space="preserve"> </w:t>
            </w:r>
            <w:r w:rsidRPr="00746CF4">
              <w:rPr>
                <w:rFonts w:ascii="Trebuchet MS" w:hAnsi="Trebuchet MS" w:cs="Arial"/>
                <w:sz w:val="20"/>
                <w:szCs w:val="20"/>
              </w:rPr>
              <w:t xml:space="preserve">bandymo </w:t>
            </w:r>
            <w:proofErr w:type="spellStart"/>
            <w:r w:rsidRPr="00746CF4">
              <w:rPr>
                <w:rFonts w:ascii="Trebuchet MS" w:hAnsi="Trebuchet MS" w:cs="Arial"/>
                <w:sz w:val="20"/>
                <w:szCs w:val="20"/>
              </w:rPr>
              <w:t>gnybtynus</w:t>
            </w:r>
            <w:proofErr w:type="spellEnd"/>
            <w:r w:rsidRPr="00746CF4">
              <w:rPr>
                <w:rFonts w:ascii="Trebuchet MS" w:hAnsi="Trebuchet MS" w:cs="Arial"/>
                <w:sz w:val="20"/>
                <w:szCs w:val="20"/>
              </w:rPr>
              <w:t>, sukomplektuotus ir sukonfigūruotus automatizuotos elektros apskaitos</w:t>
            </w:r>
            <w:r>
              <w:rPr>
                <w:rFonts w:ascii="Trebuchet MS" w:hAnsi="Trebuchet MS" w:cs="Arial"/>
                <w:sz w:val="20"/>
                <w:szCs w:val="20"/>
              </w:rPr>
              <w:t xml:space="preserve"> </w:t>
            </w:r>
            <w:r w:rsidRPr="00746CF4">
              <w:rPr>
                <w:rFonts w:ascii="Trebuchet MS" w:hAnsi="Trebuchet MS" w:cs="Arial"/>
                <w:sz w:val="20"/>
                <w:szCs w:val="20"/>
              </w:rPr>
              <w:t>sistemos (AEEAS) duomenų surinkimo ir perdavimo valdiklį (KDV) bei momentinių duomenų</w:t>
            </w:r>
            <w:r>
              <w:rPr>
                <w:rFonts w:ascii="Trebuchet MS" w:hAnsi="Trebuchet MS" w:cs="Arial"/>
                <w:sz w:val="20"/>
                <w:szCs w:val="20"/>
              </w:rPr>
              <w:t xml:space="preserve"> </w:t>
            </w:r>
            <w:r w:rsidRPr="00746CF4">
              <w:rPr>
                <w:rFonts w:ascii="Trebuchet MS" w:hAnsi="Trebuchet MS" w:cs="Arial"/>
                <w:sz w:val="20"/>
                <w:szCs w:val="20"/>
              </w:rPr>
              <w:t>surinkimo ir perdavimo valdiklius (MDV) įrengimui pateiks Užsakovas (LITGRID AB). Prietaisų</w:t>
            </w:r>
            <w:r>
              <w:rPr>
                <w:rFonts w:ascii="Trebuchet MS" w:hAnsi="Trebuchet MS" w:cs="Arial"/>
                <w:sz w:val="20"/>
                <w:szCs w:val="20"/>
              </w:rPr>
              <w:t xml:space="preserve"> </w:t>
            </w:r>
            <w:r w:rsidRPr="00746CF4">
              <w:rPr>
                <w:rFonts w:ascii="Trebuchet MS" w:hAnsi="Trebuchet MS" w:cs="Arial"/>
                <w:sz w:val="20"/>
                <w:szCs w:val="20"/>
              </w:rPr>
              <w:t>perdavimas bus įforminamas pasirašant „Montuotinų įrenginių ir medžiagų perdavimo-priėmimo</w:t>
            </w:r>
            <w:r>
              <w:rPr>
                <w:rFonts w:ascii="Trebuchet MS" w:hAnsi="Trebuchet MS" w:cs="Arial"/>
                <w:sz w:val="20"/>
                <w:szCs w:val="20"/>
              </w:rPr>
              <w:t xml:space="preserve"> </w:t>
            </w:r>
            <w:r w:rsidRPr="00746CF4">
              <w:rPr>
                <w:rFonts w:ascii="Trebuchet MS" w:hAnsi="Trebuchet MS" w:cs="Arial"/>
                <w:sz w:val="20"/>
                <w:szCs w:val="20"/>
              </w:rPr>
              <w:t>aktą“. Kitus elektros apskaitos schemų elementus įsigyja ir įrengia Rangovas. Reikalavimai įrangos </w:t>
            </w:r>
            <w:r w:rsidRPr="00746CF4">
              <w:rPr>
                <w:rFonts w:ascii="Trebuchet MS" w:hAnsi="Trebuchet MS" w:cs="Arial"/>
                <w:sz w:val="20"/>
                <w:szCs w:val="20"/>
                <w:lang w:val="en-US"/>
              </w:rPr>
              <w:t> </w:t>
            </w:r>
            <w:r w:rsidRPr="00746CF4">
              <w:rPr>
                <w:rFonts w:ascii="Trebuchet MS" w:hAnsi="Trebuchet MS" w:cs="Arial"/>
                <w:sz w:val="20"/>
                <w:szCs w:val="20"/>
              </w:rPr>
              <w:t>komplektacijai ir įrengimui išvardinti Techninėse specifikacijose.</w:t>
            </w:r>
            <w:r w:rsidRPr="00746CF4">
              <w:rPr>
                <w:rFonts w:ascii="Trebuchet MS" w:hAnsi="Trebuchet MS" w:cs="Arial"/>
                <w:sz w:val="20"/>
                <w:szCs w:val="20"/>
                <w:lang w:val="en-US"/>
              </w:rPr>
              <w:t> </w:t>
            </w:r>
          </w:p>
          <w:p w14:paraId="39CF8BF9" w14:textId="353C7567" w:rsidR="002D7521" w:rsidRPr="00746CF4" w:rsidRDefault="002D7521" w:rsidP="00746CF4">
            <w:pPr>
              <w:spacing w:after="0"/>
              <w:jc w:val="both"/>
              <w:rPr>
                <w:rFonts w:ascii="Trebuchet MS" w:hAnsi="Trebuchet MS" w:cs="Arial"/>
                <w:sz w:val="20"/>
                <w:szCs w:val="20"/>
              </w:rPr>
            </w:pPr>
          </w:p>
        </w:tc>
      </w:tr>
    </w:tbl>
    <w:p w14:paraId="3A15AE95" w14:textId="77777777" w:rsidR="00D61E76" w:rsidRDefault="00D61E76" w:rsidP="00E179D3"/>
    <w:sectPr w:rsidR="00D61E76" w:rsidSect="007C4F9C">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8487B"/>
    <w:multiLevelType w:val="multilevel"/>
    <w:tmpl w:val="C39480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29A4E68"/>
    <w:multiLevelType w:val="hybridMultilevel"/>
    <w:tmpl w:val="C5D28C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4372120">
    <w:abstractNumId w:val="1"/>
  </w:num>
  <w:num w:numId="2" w16cid:durableId="146643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E76"/>
    <w:rsid w:val="000B7F5A"/>
    <w:rsid w:val="001018E5"/>
    <w:rsid w:val="00130AE7"/>
    <w:rsid w:val="00134FB0"/>
    <w:rsid w:val="001538FE"/>
    <w:rsid w:val="001F1494"/>
    <w:rsid w:val="002D7521"/>
    <w:rsid w:val="002F0383"/>
    <w:rsid w:val="002F078F"/>
    <w:rsid w:val="002F2ABB"/>
    <w:rsid w:val="00317373"/>
    <w:rsid w:val="003670A6"/>
    <w:rsid w:val="00372566"/>
    <w:rsid w:val="00417187"/>
    <w:rsid w:val="004256B6"/>
    <w:rsid w:val="00434E00"/>
    <w:rsid w:val="004453C8"/>
    <w:rsid w:val="004836D4"/>
    <w:rsid w:val="00494782"/>
    <w:rsid w:val="004A10B1"/>
    <w:rsid w:val="00510119"/>
    <w:rsid w:val="00520C73"/>
    <w:rsid w:val="0055229C"/>
    <w:rsid w:val="00621164"/>
    <w:rsid w:val="006444AD"/>
    <w:rsid w:val="006657EB"/>
    <w:rsid w:val="00672F89"/>
    <w:rsid w:val="00682C29"/>
    <w:rsid w:val="00704F15"/>
    <w:rsid w:val="007138AA"/>
    <w:rsid w:val="00746CF4"/>
    <w:rsid w:val="00766FD0"/>
    <w:rsid w:val="007953BD"/>
    <w:rsid w:val="007C4F9C"/>
    <w:rsid w:val="007E2506"/>
    <w:rsid w:val="007E693C"/>
    <w:rsid w:val="008539B9"/>
    <w:rsid w:val="008F48EF"/>
    <w:rsid w:val="009F29D9"/>
    <w:rsid w:val="00A66E3F"/>
    <w:rsid w:val="00A67E18"/>
    <w:rsid w:val="00A837E3"/>
    <w:rsid w:val="00AB2ACE"/>
    <w:rsid w:val="00AC44DA"/>
    <w:rsid w:val="00AD2F60"/>
    <w:rsid w:val="00AE1002"/>
    <w:rsid w:val="00AF2E46"/>
    <w:rsid w:val="00AF7DB4"/>
    <w:rsid w:val="00B22E51"/>
    <w:rsid w:val="00B91279"/>
    <w:rsid w:val="00BC0165"/>
    <w:rsid w:val="00BE6D0B"/>
    <w:rsid w:val="00C1110A"/>
    <w:rsid w:val="00C1218B"/>
    <w:rsid w:val="00C21BB8"/>
    <w:rsid w:val="00C572D6"/>
    <w:rsid w:val="00C75672"/>
    <w:rsid w:val="00C9147F"/>
    <w:rsid w:val="00CD4E63"/>
    <w:rsid w:val="00D34065"/>
    <w:rsid w:val="00D61E76"/>
    <w:rsid w:val="00D70647"/>
    <w:rsid w:val="00E179D3"/>
    <w:rsid w:val="00E20C11"/>
    <w:rsid w:val="00F24426"/>
    <w:rsid w:val="00F4290C"/>
    <w:rsid w:val="00F4608D"/>
    <w:rsid w:val="00F5609D"/>
    <w:rsid w:val="00FD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1C5A1"/>
  <w15:chartTrackingRefBased/>
  <w15:docId w15:val="{A09C4762-20DC-44D2-9A6E-9CFFD9E7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18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C1218B"/>
    <w:pPr>
      <w:ind w:left="720"/>
      <w:contextualSpacing/>
    </w:pPr>
  </w:style>
  <w:style w:type="character" w:customStyle="1" w:styleId="ListParagraphChar">
    <w:name w:val="List Paragraph Char"/>
    <w:aliases w:val="List not in Table Char1,List Paragraph Red Char1,Heading 10 Char1,Sąrašo pastraipa1 Char1,Buletai Char1,Bullet EY Char1,List Paragraph21 Char1,List Paragraph1 Char1,List Paragraph2 Char1,lp1 Char1,Bullet 1 Char1,Numbering Char"/>
    <w:link w:val="ListParagraph"/>
    <w:uiPriority w:val="99"/>
    <w:locked/>
    <w:rsid w:val="00C1218B"/>
    <w:rPr>
      <w:kern w:val="0"/>
      <w14:ligatures w14:val="none"/>
    </w:rPr>
  </w:style>
  <w:style w:type="character" w:styleId="CommentReference">
    <w:name w:val="annotation reference"/>
    <w:basedOn w:val="DefaultParagraphFont"/>
    <w:uiPriority w:val="99"/>
    <w:semiHidden/>
    <w:unhideWhenUsed/>
    <w:rsid w:val="003670A6"/>
    <w:rPr>
      <w:sz w:val="16"/>
      <w:szCs w:val="16"/>
    </w:rPr>
  </w:style>
  <w:style w:type="paragraph" w:styleId="CommentText">
    <w:name w:val="annotation text"/>
    <w:basedOn w:val="Normal"/>
    <w:link w:val="CommentTextChar"/>
    <w:uiPriority w:val="99"/>
    <w:unhideWhenUsed/>
    <w:rsid w:val="003670A6"/>
    <w:pPr>
      <w:spacing w:line="240" w:lineRule="auto"/>
    </w:pPr>
    <w:rPr>
      <w:sz w:val="20"/>
      <w:szCs w:val="20"/>
    </w:rPr>
  </w:style>
  <w:style w:type="character" w:customStyle="1" w:styleId="CommentTextChar">
    <w:name w:val="Comment Text Char"/>
    <w:basedOn w:val="DefaultParagraphFont"/>
    <w:link w:val="CommentText"/>
    <w:uiPriority w:val="99"/>
    <w:rsid w:val="003670A6"/>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670A6"/>
    <w:rPr>
      <w:b/>
      <w:bCs/>
    </w:rPr>
  </w:style>
  <w:style w:type="character" w:customStyle="1" w:styleId="CommentSubjectChar">
    <w:name w:val="Comment Subject Char"/>
    <w:basedOn w:val="CommentTextChar"/>
    <w:link w:val="CommentSubject"/>
    <w:uiPriority w:val="99"/>
    <w:semiHidden/>
    <w:rsid w:val="003670A6"/>
    <w:rPr>
      <w:b/>
      <w:bCs/>
      <w:kern w:val="0"/>
      <w:sz w:val="20"/>
      <w:szCs w:val="20"/>
      <w14:ligatures w14:val="none"/>
    </w:rPr>
  </w:style>
  <w:style w:type="character" w:customStyle="1" w:styleId="normaltextrun">
    <w:name w:val="normaltextrun"/>
    <w:basedOn w:val="DefaultParagraphFont"/>
    <w:rsid w:val="00434E00"/>
  </w:style>
  <w:style w:type="character" w:customStyle="1" w:styleId="ListParagraphChar1">
    <w:name w:val="List Paragraph Char1"/>
    <w:aliases w:val="List not in Table Char,List Paragraph Red Char,Heading 10 Char,Sąrašo pastraipa1 Char,Buletai Char,Bullet EY Char,List Paragraph21 Char,List Paragraph1 Char,List Paragraph2 Char,lp1 Char,Bullet 1 Char,Use Case List Paragraph Char"/>
    <w:basedOn w:val="DefaultParagraphFont"/>
    <w:uiPriority w:val="34"/>
    <w:qFormat/>
    <w:rsid w:val="00494782"/>
    <w:rPr>
      <w:rFonts w:ascii="Tahoma" w:eastAsia="MS Mincho"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39671">
      <w:bodyDiv w:val="1"/>
      <w:marLeft w:val="0"/>
      <w:marRight w:val="0"/>
      <w:marTop w:val="0"/>
      <w:marBottom w:val="0"/>
      <w:divBdr>
        <w:top w:val="none" w:sz="0" w:space="0" w:color="auto"/>
        <w:left w:val="none" w:sz="0" w:space="0" w:color="auto"/>
        <w:bottom w:val="none" w:sz="0" w:space="0" w:color="auto"/>
        <w:right w:val="none" w:sz="0" w:space="0" w:color="auto"/>
      </w:divBdr>
      <w:divsChild>
        <w:div w:id="2095660409">
          <w:marLeft w:val="0"/>
          <w:marRight w:val="0"/>
          <w:marTop w:val="0"/>
          <w:marBottom w:val="0"/>
          <w:divBdr>
            <w:top w:val="none" w:sz="0" w:space="0" w:color="auto"/>
            <w:left w:val="none" w:sz="0" w:space="0" w:color="auto"/>
            <w:bottom w:val="none" w:sz="0" w:space="0" w:color="auto"/>
            <w:right w:val="none" w:sz="0" w:space="0" w:color="auto"/>
          </w:divBdr>
        </w:div>
        <w:div w:id="1727484372">
          <w:marLeft w:val="0"/>
          <w:marRight w:val="0"/>
          <w:marTop w:val="0"/>
          <w:marBottom w:val="0"/>
          <w:divBdr>
            <w:top w:val="none" w:sz="0" w:space="0" w:color="auto"/>
            <w:left w:val="none" w:sz="0" w:space="0" w:color="auto"/>
            <w:bottom w:val="none" w:sz="0" w:space="0" w:color="auto"/>
            <w:right w:val="none" w:sz="0" w:space="0" w:color="auto"/>
          </w:divBdr>
        </w:div>
        <w:div w:id="1664357052">
          <w:marLeft w:val="0"/>
          <w:marRight w:val="0"/>
          <w:marTop w:val="0"/>
          <w:marBottom w:val="0"/>
          <w:divBdr>
            <w:top w:val="none" w:sz="0" w:space="0" w:color="auto"/>
            <w:left w:val="none" w:sz="0" w:space="0" w:color="auto"/>
            <w:bottom w:val="none" w:sz="0" w:space="0" w:color="auto"/>
            <w:right w:val="none" w:sz="0" w:space="0" w:color="auto"/>
          </w:divBdr>
        </w:div>
        <w:div w:id="867452716">
          <w:marLeft w:val="0"/>
          <w:marRight w:val="0"/>
          <w:marTop w:val="0"/>
          <w:marBottom w:val="0"/>
          <w:divBdr>
            <w:top w:val="none" w:sz="0" w:space="0" w:color="auto"/>
            <w:left w:val="none" w:sz="0" w:space="0" w:color="auto"/>
            <w:bottom w:val="none" w:sz="0" w:space="0" w:color="auto"/>
            <w:right w:val="none" w:sz="0" w:space="0" w:color="auto"/>
          </w:divBdr>
        </w:div>
        <w:div w:id="111094176">
          <w:marLeft w:val="0"/>
          <w:marRight w:val="0"/>
          <w:marTop w:val="0"/>
          <w:marBottom w:val="0"/>
          <w:divBdr>
            <w:top w:val="none" w:sz="0" w:space="0" w:color="auto"/>
            <w:left w:val="none" w:sz="0" w:space="0" w:color="auto"/>
            <w:bottom w:val="none" w:sz="0" w:space="0" w:color="auto"/>
            <w:right w:val="none" w:sz="0" w:space="0" w:color="auto"/>
          </w:divBdr>
        </w:div>
        <w:div w:id="2081056145">
          <w:marLeft w:val="0"/>
          <w:marRight w:val="0"/>
          <w:marTop w:val="0"/>
          <w:marBottom w:val="0"/>
          <w:divBdr>
            <w:top w:val="none" w:sz="0" w:space="0" w:color="auto"/>
            <w:left w:val="none" w:sz="0" w:space="0" w:color="auto"/>
            <w:bottom w:val="none" w:sz="0" w:space="0" w:color="auto"/>
            <w:right w:val="none" w:sz="0" w:space="0" w:color="auto"/>
          </w:divBdr>
        </w:div>
        <w:div w:id="102503892">
          <w:marLeft w:val="0"/>
          <w:marRight w:val="0"/>
          <w:marTop w:val="0"/>
          <w:marBottom w:val="0"/>
          <w:divBdr>
            <w:top w:val="none" w:sz="0" w:space="0" w:color="auto"/>
            <w:left w:val="none" w:sz="0" w:space="0" w:color="auto"/>
            <w:bottom w:val="none" w:sz="0" w:space="0" w:color="auto"/>
            <w:right w:val="none" w:sz="0" w:space="0" w:color="auto"/>
          </w:divBdr>
        </w:div>
      </w:divsChild>
    </w:div>
    <w:div w:id="655885066">
      <w:bodyDiv w:val="1"/>
      <w:marLeft w:val="0"/>
      <w:marRight w:val="0"/>
      <w:marTop w:val="0"/>
      <w:marBottom w:val="0"/>
      <w:divBdr>
        <w:top w:val="none" w:sz="0" w:space="0" w:color="auto"/>
        <w:left w:val="none" w:sz="0" w:space="0" w:color="auto"/>
        <w:bottom w:val="none" w:sz="0" w:space="0" w:color="auto"/>
        <w:right w:val="none" w:sz="0" w:space="0" w:color="auto"/>
      </w:divBdr>
      <w:divsChild>
        <w:div w:id="539518876">
          <w:marLeft w:val="0"/>
          <w:marRight w:val="0"/>
          <w:marTop w:val="0"/>
          <w:marBottom w:val="0"/>
          <w:divBdr>
            <w:top w:val="none" w:sz="0" w:space="0" w:color="auto"/>
            <w:left w:val="none" w:sz="0" w:space="0" w:color="auto"/>
            <w:bottom w:val="none" w:sz="0" w:space="0" w:color="auto"/>
            <w:right w:val="none" w:sz="0" w:space="0" w:color="auto"/>
          </w:divBdr>
        </w:div>
        <w:div w:id="2011135241">
          <w:marLeft w:val="0"/>
          <w:marRight w:val="0"/>
          <w:marTop w:val="0"/>
          <w:marBottom w:val="0"/>
          <w:divBdr>
            <w:top w:val="none" w:sz="0" w:space="0" w:color="auto"/>
            <w:left w:val="none" w:sz="0" w:space="0" w:color="auto"/>
            <w:bottom w:val="none" w:sz="0" w:space="0" w:color="auto"/>
            <w:right w:val="none" w:sz="0" w:space="0" w:color="auto"/>
          </w:divBdr>
        </w:div>
        <w:div w:id="1594703604">
          <w:marLeft w:val="0"/>
          <w:marRight w:val="0"/>
          <w:marTop w:val="0"/>
          <w:marBottom w:val="0"/>
          <w:divBdr>
            <w:top w:val="none" w:sz="0" w:space="0" w:color="auto"/>
            <w:left w:val="none" w:sz="0" w:space="0" w:color="auto"/>
            <w:bottom w:val="none" w:sz="0" w:space="0" w:color="auto"/>
            <w:right w:val="none" w:sz="0" w:space="0" w:color="auto"/>
          </w:divBdr>
        </w:div>
        <w:div w:id="781918179">
          <w:marLeft w:val="0"/>
          <w:marRight w:val="0"/>
          <w:marTop w:val="0"/>
          <w:marBottom w:val="0"/>
          <w:divBdr>
            <w:top w:val="none" w:sz="0" w:space="0" w:color="auto"/>
            <w:left w:val="none" w:sz="0" w:space="0" w:color="auto"/>
            <w:bottom w:val="none" w:sz="0" w:space="0" w:color="auto"/>
            <w:right w:val="none" w:sz="0" w:space="0" w:color="auto"/>
          </w:divBdr>
        </w:div>
        <w:div w:id="1234926603">
          <w:marLeft w:val="0"/>
          <w:marRight w:val="0"/>
          <w:marTop w:val="0"/>
          <w:marBottom w:val="0"/>
          <w:divBdr>
            <w:top w:val="none" w:sz="0" w:space="0" w:color="auto"/>
            <w:left w:val="none" w:sz="0" w:space="0" w:color="auto"/>
            <w:bottom w:val="none" w:sz="0" w:space="0" w:color="auto"/>
            <w:right w:val="none" w:sz="0" w:space="0" w:color="auto"/>
          </w:divBdr>
        </w:div>
        <w:div w:id="1707367152">
          <w:marLeft w:val="0"/>
          <w:marRight w:val="0"/>
          <w:marTop w:val="0"/>
          <w:marBottom w:val="0"/>
          <w:divBdr>
            <w:top w:val="none" w:sz="0" w:space="0" w:color="auto"/>
            <w:left w:val="none" w:sz="0" w:space="0" w:color="auto"/>
            <w:bottom w:val="none" w:sz="0" w:space="0" w:color="auto"/>
            <w:right w:val="none" w:sz="0" w:space="0" w:color="auto"/>
          </w:divBdr>
        </w:div>
        <w:div w:id="1141459644">
          <w:marLeft w:val="0"/>
          <w:marRight w:val="0"/>
          <w:marTop w:val="0"/>
          <w:marBottom w:val="0"/>
          <w:divBdr>
            <w:top w:val="none" w:sz="0" w:space="0" w:color="auto"/>
            <w:left w:val="none" w:sz="0" w:space="0" w:color="auto"/>
            <w:bottom w:val="none" w:sz="0" w:space="0" w:color="auto"/>
            <w:right w:val="none" w:sz="0" w:space="0" w:color="auto"/>
          </w:divBdr>
        </w:div>
      </w:divsChild>
    </w:div>
    <w:div w:id="1556501917">
      <w:bodyDiv w:val="1"/>
      <w:marLeft w:val="0"/>
      <w:marRight w:val="0"/>
      <w:marTop w:val="0"/>
      <w:marBottom w:val="0"/>
      <w:divBdr>
        <w:top w:val="none" w:sz="0" w:space="0" w:color="auto"/>
        <w:left w:val="none" w:sz="0" w:space="0" w:color="auto"/>
        <w:bottom w:val="none" w:sz="0" w:space="0" w:color="auto"/>
        <w:right w:val="none" w:sz="0" w:space="0" w:color="auto"/>
      </w:divBdr>
      <w:divsChild>
        <w:div w:id="1236822782">
          <w:marLeft w:val="0"/>
          <w:marRight w:val="0"/>
          <w:marTop w:val="0"/>
          <w:marBottom w:val="0"/>
          <w:divBdr>
            <w:top w:val="none" w:sz="0" w:space="0" w:color="auto"/>
            <w:left w:val="none" w:sz="0" w:space="0" w:color="auto"/>
            <w:bottom w:val="none" w:sz="0" w:space="0" w:color="auto"/>
            <w:right w:val="none" w:sz="0" w:space="0" w:color="auto"/>
          </w:divBdr>
        </w:div>
        <w:div w:id="835922152">
          <w:marLeft w:val="0"/>
          <w:marRight w:val="0"/>
          <w:marTop w:val="0"/>
          <w:marBottom w:val="0"/>
          <w:divBdr>
            <w:top w:val="none" w:sz="0" w:space="0" w:color="auto"/>
            <w:left w:val="none" w:sz="0" w:space="0" w:color="auto"/>
            <w:bottom w:val="none" w:sz="0" w:space="0" w:color="auto"/>
            <w:right w:val="none" w:sz="0" w:space="0" w:color="auto"/>
          </w:divBdr>
        </w:div>
        <w:div w:id="1638991537">
          <w:marLeft w:val="0"/>
          <w:marRight w:val="0"/>
          <w:marTop w:val="0"/>
          <w:marBottom w:val="0"/>
          <w:divBdr>
            <w:top w:val="none" w:sz="0" w:space="0" w:color="auto"/>
            <w:left w:val="none" w:sz="0" w:space="0" w:color="auto"/>
            <w:bottom w:val="none" w:sz="0" w:space="0" w:color="auto"/>
            <w:right w:val="none" w:sz="0" w:space="0" w:color="auto"/>
          </w:divBdr>
        </w:div>
        <w:div w:id="1176924531">
          <w:marLeft w:val="0"/>
          <w:marRight w:val="0"/>
          <w:marTop w:val="0"/>
          <w:marBottom w:val="0"/>
          <w:divBdr>
            <w:top w:val="none" w:sz="0" w:space="0" w:color="auto"/>
            <w:left w:val="none" w:sz="0" w:space="0" w:color="auto"/>
            <w:bottom w:val="none" w:sz="0" w:space="0" w:color="auto"/>
            <w:right w:val="none" w:sz="0" w:space="0" w:color="auto"/>
          </w:divBdr>
        </w:div>
        <w:div w:id="1659729962">
          <w:marLeft w:val="0"/>
          <w:marRight w:val="0"/>
          <w:marTop w:val="0"/>
          <w:marBottom w:val="0"/>
          <w:divBdr>
            <w:top w:val="none" w:sz="0" w:space="0" w:color="auto"/>
            <w:left w:val="none" w:sz="0" w:space="0" w:color="auto"/>
            <w:bottom w:val="none" w:sz="0" w:space="0" w:color="auto"/>
            <w:right w:val="none" w:sz="0" w:space="0" w:color="auto"/>
          </w:divBdr>
        </w:div>
        <w:div w:id="363022391">
          <w:marLeft w:val="0"/>
          <w:marRight w:val="0"/>
          <w:marTop w:val="0"/>
          <w:marBottom w:val="0"/>
          <w:divBdr>
            <w:top w:val="none" w:sz="0" w:space="0" w:color="auto"/>
            <w:left w:val="none" w:sz="0" w:space="0" w:color="auto"/>
            <w:bottom w:val="none" w:sz="0" w:space="0" w:color="auto"/>
            <w:right w:val="none" w:sz="0" w:space="0" w:color="auto"/>
          </w:divBdr>
        </w:div>
        <w:div w:id="147288147">
          <w:marLeft w:val="0"/>
          <w:marRight w:val="0"/>
          <w:marTop w:val="0"/>
          <w:marBottom w:val="0"/>
          <w:divBdr>
            <w:top w:val="none" w:sz="0" w:space="0" w:color="auto"/>
            <w:left w:val="none" w:sz="0" w:space="0" w:color="auto"/>
            <w:bottom w:val="none" w:sz="0" w:space="0" w:color="auto"/>
            <w:right w:val="none" w:sz="0" w:space="0" w:color="auto"/>
          </w:divBdr>
        </w:div>
      </w:divsChild>
    </w:div>
    <w:div w:id="1601330842">
      <w:bodyDiv w:val="1"/>
      <w:marLeft w:val="0"/>
      <w:marRight w:val="0"/>
      <w:marTop w:val="0"/>
      <w:marBottom w:val="0"/>
      <w:divBdr>
        <w:top w:val="none" w:sz="0" w:space="0" w:color="auto"/>
        <w:left w:val="none" w:sz="0" w:space="0" w:color="auto"/>
        <w:bottom w:val="none" w:sz="0" w:space="0" w:color="auto"/>
        <w:right w:val="none" w:sz="0" w:space="0" w:color="auto"/>
      </w:divBdr>
      <w:divsChild>
        <w:div w:id="290669778">
          <w:marLeft w:val="0"/>
          <w:marRight w:val="0"/>
          <w:marTop w:val="0"/>
          <w:marBottom w:val="0"/>
          <w:divBdr>
            <w:top w:val="none" w:sz="0" w:space="0" w:color="auto"/>
            <w:left w:val="none" w:sz="0" w:space="0" w:color="auto"/>
            <w:bottom w:val="none" w:sz="0" w:space="0" w:color="auto"/>
            <w:right w:val="none" w:sz="0" w:space="0" w:color="auto"/>
          </w:divBdr>
        </w:div>
        <w:div w:id="1286934925">
          <w:marLeft w:val="0"/>
          <w:marRight w:val="0"/>
          <w:marTop w:val="0"/>
          <w:marBottom w:val="0"/>
          <w:divBdr>
            <w:top w:val="none" w:sz="0" w:space="0" w:color="auto"/>
            <w:left w:val="none" w:sz="0" w:space="0" w:color="auto"/>
            <w:bottom w:val="none" w:sz="0" w:space="0" w:color="auto"/>
            <w:right w:val="none" w:sz="0" w:space="0" w:color="auto"/>
          </w:divBdr>
        </w:div>
        <w:div w:id="1574579284">
          <w:marLeft w:val="0"/>
          <w:marRight w:val="0"/>
          <w:marTop w:val="0"/>
          <w:marBottom w:val="0"/>
          <w:divBdr>
            <w:top w:val="none" w:sz="0" w:space="0" w:color="auto"/>
            <w:left w:val="none" w:sz="0" w:space="0" w:color="auto"/>
            <w:bottom w:val="none" w:sz="0" w:space="0" w:color="auto"/>
            <w:right w:val="none" w:sz="0" w:space="0" w:color="auto"/>
          </w:divBdr>
        </w:div>
        <w:div w:id="838275668">
          <w:marLeft w:val="0"/>
          <w:marRight w:val="0"/>
          <w:marTop w:val="0"/>
          <w:marBottom w:val="0"/>
          <w:divBdr>
            <w:top w:val="none" w:sz="0" w:space="0" w:color="auto"/>
            <w:left w:val="none" w:sz="0" w:space="0" w:color="auto"/>
            <w:bottom w:val="none" w:sz="0" w:space="0" w:color="auto"/>
            <w:right w:val="none" w:sz="0" w:space="0" w:color="auto"/>
          </w:divBdr>
        </w:div>
        <w:div w:id="457451265">
          <w:marLeft w:val="0"/>
          <w:marRight w:val="0"/>
          <w:marTop w:val="0"/>
          <w:marBottom w:val="0"/>
          <w:divBdr>
            <w:top w:val="none" w:sz="0" w:space="0" w:color="auto"/>
            <w:left w:val="none" w:sz="0" w:space="0" w:color="auto"/>
            <w:bottom w:val="none" w:sz="0" w:space="0" w:color="auto"/>
            <w:right w:val="none" w:sz="0" w:space="0" w:color="auto"/>
          </w:divBdr>
        </w:div>
        <w:div w:id="1701084029">
          <w:marLeft w:val="0"/>
          <w:marRight w:val="0"/>
          <w:marTop w:val="0"/>
          <w:marBottom w:val="0"/>
          <w:divBdr>
            <w:top w:val="none" w:sz="0" w:space="0" w:color="auto"/>
            <w:left w:val="none" w:sz="0" w:space="0" w:color="auto"/>
            <w:bottom w:val="none" w:sz="0" w:space="0" w:color="auto"/>
            <w:right w:val="none" w:sz="0" w:space="0" w:color="auto"/>
          </w:divBdr>
        </w:div>
        <w:div w:id="672686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1A999-32FA-44B4-BF03-68D5490E4865}">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114</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Monika Puidokė</cp:lastModifiedBy>
  <cp:revision>29</cp:revision>
  <dcterms:created xsi:type="dcterms:W3CDTF">2024-11-13T16:39:00Z</dcterms:created>
  <dcterms:modified xsi:type="dcterms:W3CDTF">2025-09-26T10:17:00Z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2023-04-21T08:10:54Z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5cdf8401-b9d7-4515-b284-f5b37b97450b</vt:lpwstr>
  </property>
  <property fmtid="{D5CDD505-2E9C-101B-9397-08002B2CF9AE}" pid="8" name="MSIP_Label_7058e6ed-1f62-4b3b-a413-1541f2aa482f_ContentBits">
    <vt:lpwstr>0</vt:lpwstr>
  </property>
</Properties>
</file>